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B84B3" w14:textId="00D3E902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en-GB"/>
          <w14:ligatures w14:val="none"/>
        </w:rPr>
      </w:pPr>
      <w:r w:rsidRPr="000204A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PRAVILNIK</w:t>
      </w:r>
    </w:p>
    <w:p w14:paraId="097E82E6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en-GB"/>
          <w14:ligatures w14:val="none"/>
        </w:rPr>
      </w:pPr>
      <w:r w:rsidRPr="000204A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O SADRŽAJU I NAČINU VOĐENJA DOKUMENTACIJE, EVIDENCIJE I OBRASCIMA JAVNIH ISPRAVA U OSNOVNOJ ŠKOLI</w:t>
      </w:r>
    </w:p>
    <w:p w14:paraId="55706A0D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4A14CEA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204A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(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Objavljen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u "Sl.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glasniku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RS", br. 56 od 27.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juna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2023, 114/23)</w:t>
      </w:r>
    </w:p>
    <w:p w14:paraId="4B107ED4" w14:textId="77777777" w:rsidR="000204AC" w:rsidRPr="000204AC" w:rsidRDefault="000204AC" w:rsidP="000204A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2DE7257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0" w:name="clan110000001"/>
      <w:bookmarkEnd w:id="0"/>
      <w:proofErr w:type="spellStart"/>
      <w:r w:rsidRPr="000204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1.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44937CDB" wp14:editId="6929B333">
            <wp:extent cx="76200" cy="76200"/>
            <wp:effectExtent l="0" t="0" r="0" b="0"/>
            <wp:docPr id="1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7FCC9CF7" wp14:editId="67AEB015">
            <wp:extent cx="76200" cy="76200"/>
            <wp:effectExtent l="0" t="0" r="0" b="0"/>
            <wp:docPr id="2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3A5F550" wp14:editId="00C0D62F">
            <wp:extent cx="76200" cy="76200"/>
            <wp:effectExtent l="0" t="0" r="0" b="0"/>
            <wp:docPr id="3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55FF4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1" w:name="10001"/>
      <w:bookmarkEnd w:id="1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  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propisuju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sadržaj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način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vođenja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dokumentacije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javnih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isprava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djecu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smetnjama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razvoju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umjetničkoj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stiče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muzičko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baletsko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vaspitanje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(u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daljem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tekstu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: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).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26CEE025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2" w:name="clan110000002"/>
      <w:bookmarkEnd w:id="2"/>
      <w:proofErr w:type="spellStart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2.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00E56D92" wp14:editId="7CA918C2">
            <wp:extent cx="76200" cy="76200"/>
            <wp:effectExtent l="0" t="0" r="0" b="0"/>
            <wp:docPr id="4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7E27C1F2" wp14:editId="56484EFC">
            <wp:extent cx="76200" cy="76200"/>
            <wp:effectExtent l="0" t="0" r="0" b="0"/>
            <wp:docPr id="5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2F0AECF2" wp14:editId="5130B9C2">
            <wp:extent cx="76200" cy="76200"/>
            <wp:effectExtent l="0" t="0" r="0" b="0"/>
            <wp:docPr id="6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9B060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3" w:name="10002"/>
      <w:bookmarkEnd w:id="3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Matična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(u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daljem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tekstu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: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matična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Opšte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matičnu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upisuje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odjeljenjski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starješina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roku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od 30 dana od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početka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odgovoran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tačnost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rok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unošenja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podataka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(3)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ocjenama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druge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upisuje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odjeljenjski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starješina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roku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od 15 dana od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utvrđivanja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opšteg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uspjeha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(4)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Ukoliko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pohađao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nije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uspjehom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završio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razred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matičnu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ne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evidentiraju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ocjene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već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rubrici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Napomena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evidentira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pohađao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razred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određenoj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godini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nije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ga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završio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(5)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Ukoliko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pohađao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upućen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popravni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ispit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matičnu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ne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unose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ocjene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ne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položi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popravni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ispit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nakon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položenog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popravnog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ispita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unosi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ocjena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dobijena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popravnom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ispitu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zaključna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ocjena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(6)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Opšte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dođu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toku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godine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upisuje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sekretar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matičnu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elektronskom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unosi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lice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to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ovlasti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direktor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(7)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upisuju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okončanog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postupka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izjednačavanja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priznavanja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upisuje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datum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rješenja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izjednačavanju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priznavanju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izdala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nadležna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ustanova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(8)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Podaci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matičnoj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umjetničkoj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stiče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muzičko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baletsko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vaspitanje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svakog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posebno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od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upisa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njenog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završetka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(9)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8.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upisuje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odjeljenjski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starješina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7C7030E8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4" w:name="clan110000003"/>
      <w:bookmarkEnd w:id="4"/>
      <w:proofErr w:type="spellStart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3.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55532A02" wp14:editId="727F6318">
            <wp:extent cx="76200" cy="76200"/>
            <wp:effectExtent l="0" t="0" r="0" b="0"/>
            <wp:docPr id="7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C097DCA" wp14:editId="332B81C7">
            <wp:extent cx="76200" cy="76200"/>
            <wp:effectExtent l="0" t="0" r="0" b="0"/>
            <wp:docPr id="8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271E8F81" wp14:editId="5A740408">
            <wp:extent cx="76200" cy="76200"/>
            <wp:effectExtent l="0" t="0" r="0" b="0"/>
            <wp:docPr id="9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132E8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5" w:name="10003"/>
      <w:bookmarkEnd w:id="5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Matična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hyperlink r:id="rId5" w:anchor="clan110000002" w:history="1">
        <w:r w:rsidRPr="000204AC">
          <w:rPr>
            <w:rFonts w:ascii="Times New Roman" w:eastAsia="Times New Roman" w:hAnsi="Times New Roman" w:cs="Times New Roman"/>
            <w:color w:val="0000FF"/>
            <w:kern w:val="0"/>
            <w:sz w:val="18"/>
            <w:szCs w:val="18"/>
            <w:u w:val="single"/>
            <w:lang w:eastAsia="en-GB"/>
            <w14:ligatures w14:val="none"/>
          </w:rPr>
          <w:t>2</w:t>
        </w:r>
      </w:hyperlink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elektronskom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kroz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Jedinstveni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informacioni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sistem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Ministarstva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Podaci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matičnim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knjigama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elektronskom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istovjetni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podacima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matičnim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knjigama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(3)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Matična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elektronskom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trajno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čuva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skladu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propisima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zaštiti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ličnih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podataka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propisima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informacionoj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bezbjednosti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69DAED95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6" w:name="clan110000004"/>
      <w:bookmarkEnd w:id="6"/>
      <w:proofErr w:type="spellStart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4.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2FCB7B47" wp14:editId="2C451A80">
            <wp:extent cx="76200" cy="76200"/>
            <wp:effectExtent l="0" t="0" r="0" b="0"/>
            <wp:docPr id="10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721673D1" wp14:editId="62661887">
            <wp:extent cx="76200" cy="76200"/>
            <wp:effectExtent l="0" t="0" r="0" b="0"/>
            <wp:docPr id="11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01C7D9C6" wp14:editId="6AFA3587">
            <wp:extent cx="76200" cy="76200"/>
            <wp:effectExtent l="0" t="0" r="0" b="0"/>
            <wp:docPr id="12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95E59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7" w:name="10004"/>
      <w:bookmarkEnd w:id="7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Matična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dokument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trajne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vrijednosti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čuva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metalnim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ormarima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drugim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adekvatnim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prostorima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otpornim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požar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druge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vrste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uništavanja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skladu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propisima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odnose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arhivsku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djelatnost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čuvanje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dokumentarne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građe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Matična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numeriše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rimskim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ciframa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svaka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matična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upisanih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počinje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1, 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završava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posljednje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stranice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matične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(3)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Tačnost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podataka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matičnoj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nakon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završenog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obrazovanja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prekida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obrazovanja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ispisivanja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potvrđuje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svojim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potpisom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direktor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ovjerava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pečatom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(4)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Podaci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matičnu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unose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trajnim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mastilom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plave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(5)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Matična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sveske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tvrdog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poveza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veličine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300 mm x 400 mm.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(6)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matične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1,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Prilogu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1, koji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(7)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matične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školuju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nivoima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obrazovanja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2,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Prilogu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2, koji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(8)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matične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umjetničkoj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stiče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muzičko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baletsko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vaspitanje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3,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Prilogu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3, koji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(9) Na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prednjoj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strani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korica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matične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6.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gornjem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srednjem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dijelu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amblem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Republike Srpske,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amblema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riječi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 "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Republika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Srpska", 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njih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riječi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 "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Ministarstvo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prosvjete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kulture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",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korica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riječi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: "MATIČNA KNJIGA UČENIKA OSNOVNE ŠKOLE"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prostor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10) Na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prednjoj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strani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korica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matične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7.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gornjem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srednjem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dijelu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amblem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Republike Srpske,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amblema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riječi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 "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Republika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Srpska", 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njih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riječi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 "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Ministarstvo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prosvjete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kulture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",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korica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riječi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: "MATIČNA KNJIGA ZA UČENIKE KOJI SE ŠKOLUJU U NIVOIMA OBRAZOVANJA"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prostor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11) Na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prednjoj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strani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korica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matične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8.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gornjem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srednjem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dijelu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amblem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Republike Srpske,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amblema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riječi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 "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Republika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Srpska", 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njih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riječi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 "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Ministarstvo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prosvjete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kulture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",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korica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riječi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: "MATIČNA KNJIGA UČENIKA UMJETNIČKE ŠKOLE"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prostor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4405416A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8" w:name="clan110000005"/>
      <w:bookmarkEnd w:id="8"/>
      <w:proofErr w:type="spellStart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5.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BE46985" wp14:editId="24B0C5E5">
            <wp:extent cx="76200" cy="76200"/>
            <wp:effectExtent l="0" t="0" r="0" b="0"/>
            <wp:docPr id="13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2CA4ACF9" wp14:editId="448C8A93">
            <wp:extent cx="76200" cy="76200"/>
            <wp:effectExtent l="0" t="0" r="0" b="0"/>
            <wp:docPr id="14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5EACF321" wp14:editId="2BF82F00">
            <wp:extent cx="76200" cy="76200"/>
            <wp:effectExtent l="0" t="0" r="0" b="0"/>
            <wp:docPr id="15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B6B7B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9" w:name="10005"/>
      <w:bookmarkEnd w:id="9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registar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matičnu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Upis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registar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matičnu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vrši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odjeljenjski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starješina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lice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to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ovlasti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direktor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lastRenderedPageBreak/>
        <w:t xml:space="preserve">     (3)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jednom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registru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voditi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podaci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više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matičnih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s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registru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naznači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matičnih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podaci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registru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(4)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Podaci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registar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unose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trajnim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mastilom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plave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(5)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Registar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matičnu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dokument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trajne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vrijednosti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čuva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metalnim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ormarima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drugim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adekvatnim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prostorima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otpornim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požar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druge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vrste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uništavanja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skladu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propisima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odnose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arhivsku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djelatnost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čuvanje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dokumentarne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građe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(6)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Registar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matičnu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sveske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tvrdog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poveza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veličine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210 mm x 297 mm.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(7)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registra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matičnu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4,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Prilogu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4, koji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(8)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registra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matičnu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školuju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nivoima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obrazovanja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5,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Prilogu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5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(9)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registra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matičnu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umjetničkoj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stiče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muzičko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baletsko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vaspitanje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6,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Prilogu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6, koji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(10) Na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prednjoj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strani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korica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registra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matičnu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7.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gornjem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srednjem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dijelu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amblem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Republike Srpske,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amblema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riječi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 "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Republika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Srpska", 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njih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riječi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 "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Ministarstvo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prosvjete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kulture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",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korica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riječi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: "REGISTAR UZ MATIČNU KNJIGU UČENIKA OSNOVNE ŠKOLE"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prostor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11) Na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prednjoj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strani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korica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registra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matičnu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8.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gornjem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srednjem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dijelu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amblem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Republike Srpske,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amblema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riječi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 "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Republika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Srpska", 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njih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riječi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 "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Ministarstvo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prosvjete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kulture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",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korica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riječi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: "REGISTAR UZ MATIČNU KNJIGU ZA UČENIKE KOJI SE ŠKOLUJU U NIVOIMA OBRAZOVANJA"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prostor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12) Na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prednjoj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strani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korica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registra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matičnu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9.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gornjem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srednjem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dijelu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amblem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Republike Srpske,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amblema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riječi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 "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Republika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Srpska", 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njih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riječi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 "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Ministarstvo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prosvjete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kulture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",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korica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riječi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: "REGISTAR UZ MATIČNU KNJIGU UČENIKA UMJETNIČKE ŠKOLE"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prostor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03471DB6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10" w:name="clan110000006"/>
      <w:bookmarkEnd w:id="10"/>
      <w:proofErr w:type="spellStart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6.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6B2FF00F" wp14:editId="29196038">
            <wp:extent cx="76200" cy="76200"/>
            <wp:effectExtent l="0" t="0" r="0" b="0"/>
            <wp:docPr id="16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4D8D060E" wp14:editId="362E2C64">
            <wp:extent cx="76200" cy="76200"/>
            <wp:effectExtent l="0" t="0" r="0" b="0"/>
            <wp:docPr id="17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2469C1FC" wp14:editId="0843A93B">
            <wp:extent cx="76200" cy="76200"/>
            <wp:effectExtent l="0" t="0" r="0" b="0"/>
            <wp:docPr id="18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B824B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11" w:name="10006"/>
      <w:bookmarkEnd w:id="11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Dnevnik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vaspitno-obrazovnog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(u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daljem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tekstu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: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odjeljenjska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odjeljenja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Opšte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imenik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unosi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odjeljenjski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starješina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početku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godine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najkasnije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roku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od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deset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dana od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početka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redovne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odnosno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od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upisa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toku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godine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(3)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odnose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određeni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predmet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odgovorno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tačno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blagovremeno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evidentira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zaduženi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predmetni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(4)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Ostale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odjeljenjsku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odgovorno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tačno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blagovremeno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upisuje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odjeljenjski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starješina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(5)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Odjeljenjska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od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drugog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devetog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razreda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tvrdim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koricama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veličine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275 mm x 390 mm.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(6)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odjeljenjske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drugog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devetog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razreda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7,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Prilogu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7, koji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(7) Na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prednjoj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strani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korica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odjeljenjske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gornjem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srednjem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dijelu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amblem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Republike Srpske,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amblema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riječi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 "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Republika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Srpska", 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njih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riječi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 "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Ministarstvo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prosvjete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kulture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",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korica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riječi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: "ODJELJENJSKA KNJIGA ZA UČENIKE OD DRUGOG DO DEVETOG RAZREDA OSNOVNE ŠKOLE"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prostor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1DD2536A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12" w:name="clan110000007"/>
      <w:bookmarkEnd w:id="12"/>
      <w:proofErr w:type="spellStart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7.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26BFF741" wp14:editId="2D7D42A5">
            <wp:extent cx="76200" cy="76200"/>
            <wp:effectExtent l="0" t="0" r="0" b="0"/>
            <wp:docPr id="19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972791A" wp14:editId="779CA705">
            <wp:extent cx="76200" cy="76200"/>
            <wp:effectExtent l="0" t="0" r="0" b="0"/>
            <wp:docPr id="20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4FC05D15" wp14:editId="21BFC89F">
            <wp:extent cx="76200" cy="76200"/>
            <wp:effectExtent l="0" t="0" r="0" b="0"/>
            <wp:docPr id="21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6BDA9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13" w:name="10007"/>
      <w:bookmarkEnd w:id="13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Odjeljenjska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razreda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tvrdim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koricama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veličine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275 mm x 390 mm.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odjeljenjske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razreda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8,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Prilogu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8, koji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(3)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Opšte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upisuje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odjeljenjski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starješina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početku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godine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najkasnije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roku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od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deset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dana od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početka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redovne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odnosno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od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upisa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toku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godine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(4) Na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prednjoj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strani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korica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odjeljenjske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razreda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gornjem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srednjem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dijelu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amblem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Republike Srpske,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amblema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riječi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 "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Republika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Srpska", 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njih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riječi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 "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Ministarstvo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prosvjete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kulture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",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korica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riječi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: "ODJELJENJSKA KNJIGA ZA UČENIKE PRVOG RAZREDA OSNOVNE ŠKOLE"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prostor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5136C00E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14" w:name="clan110000008"/>
      <w:bookmarkEnd w:id="14"/>
      <w:proofErr w:type="spellStart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8.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55803502" wp14:editId="327E5EE0">
            <wp:extent cx="76200" cy="76200"/>
            <wp:effectExtent l="0" t="0" r="0" b="0"/>
            <wp:docPr id="22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50A865A" wp14:editId="6FD0EF67">
            <wp:extent cx="76200" cy="76200"/>
            <wp:effectExtent l="0" t="0" r="0" b="0"/>
            <wp:docPr id="23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D7D31E9" wp14:editId="06F09C47">
            <wp:extent cx="76200" cy="76200"/>
            <wp:effectExtent l="0" t="0" r="0" b="0"/>
            <wp:docPr id="24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2B3C0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15" w:name="10008"/>
      <w:bookmarkEnd w:id="15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Odjeljenjska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kombinovanom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odjeljenju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tvrdim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koricama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veličine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275 mm x 390 mm.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odjeljenjske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kombinovanom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odjeljenju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9,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Prilogu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9, koji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(3) Na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prednjoj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strani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korica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odjeljenjske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kombinovanom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odjeljenju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gornjem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srednjem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dijelu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amblem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Republike Srpske,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amblema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riječi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 "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Republika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Srpska", 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njih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riječi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 "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Ministarstvo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prosvjete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kulture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",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korica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riječi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: "ODJELJENJSKA KNJIGA ZA UČENIKE U KOMBINOVANOM ODJELJENJU"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prostor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17669E5A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16" w:name="clan110000009"/>
      <w:bookmarkEnd w:id="16"/>
      <w:proofErr w:type="spellStart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9.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57A80118" wp14:editId="633EE37D">
            <wp:extent cx="76200" cy="76200"/>
            <wp:effectExtent l="0" t="0" r="0" b="0"/>
            <wp:docPr id="25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7EAA1038" wp14:editId="5D3D1E11">
            <wp:extent cx="76200" cy="76200"/>
            <wp:effectExtent l="0" t="0" r="0" b="0"/>
            <wp:docPr id="26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0CB75768" wp14:editId="70A0F377">
            <wp:extent cx="76200" cy="76200"/>
            <wp:effectExtent l="0" t="0" r="0" b="0"/>
            <wp:docPr id="27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58EC1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17" w:name="10009"/>
      <w:bookmarkEnd w:id="17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Odjeljenjska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školuju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nivoima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obrazovanja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tvrdim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koricama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veličine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275 mm x 390 mm.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odjeljenjske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školuju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nivoima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obrazovanja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10,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Prilogu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10, koji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(3)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Opšte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upisuje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odjeljenjski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starješina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početku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godine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najkasnije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roku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od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deset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dana od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početka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odnosno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od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upisa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toku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godine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(4) Na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prednjoj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strani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korica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odjeljenjske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školuju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nivoima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obrazovanja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gornjem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srednjem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dijelu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amblem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Republike Srpske,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amblema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riječi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 "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Republika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Srpska", 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njih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riječi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"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Ministarstvo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prosvjete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kulture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",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korica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riječi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: "ODJELJENJSKA KNJIGA ZA 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lastRenderedPageBreak/>
        <w:t xml:space="preserve">UČENIKE KOJI SE ŠKOLUJU U NIVOIMA OBRAZOVANJA"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prostor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59D25475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18" w:name="clan1100000010"/>
      <w:bookmarkEnd w:id="18"/>
      <w:proofErr w:type="spellStart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10.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69A90F65" wp14:editId="15C07694">
            <wp:extent cx="76200" cy="76200"/>
            <wp:effectExtent l="0" t="0" r="0" b="0"/>
            <wp:docPr id="28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391B9ED" wp14:editId="58966860">
            <wp:extent cx="76200" cy="76200"/>
            <wp:effectExtent l="0" t="0" r="0" b="0"/>
            <wp:docPr id="29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D2F1C52" wp14:editId="335E296A">
            <wp:extent cx="76200" cy="76200"/>
            <wp:effectExtent l="0" t="0" r="0" b="0"/>
            <wp:docPr id="30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EFE3E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19" w:name="10010"/>
      <w:bookmarkEnd w:id="19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Odjeljenjska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umjetničkoj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stiče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muzičko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baletsko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vaspitanje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posebno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za: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glavni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predmet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-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individualni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vaspitno-obrazovni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rad,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teorijske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predmete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Odjeljenjska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glavni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predmet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-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individualni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vaspitno-obrazovni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rad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umjetničkoj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stiče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muzičko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baletsko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vaspitanje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tvrdim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koricama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veličine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275 mm x 390 mm.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(3)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odjeljenjske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glavni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predmet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-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individualni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vaspitno-obrazovni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rad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umjetničkoj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stiče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muzičko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baletsko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vaspitanje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11,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Prilogu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11, koji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(4) Na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prednjoj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strani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korica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odjeljenjske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glavni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predmet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-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individualni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vaspitno-obrazovni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rad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umjetničkoj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stiče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muzičko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baletsko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vaspitanje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gornjem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srednjem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dijelu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amblem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Republike Srpske,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amblema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riječi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 "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Republika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Srpska", 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njih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riječi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 "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Ministarstvo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prosvjete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kulture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",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korica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riječi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: "ODJELJENJSKA KNJIGA ZA GLAVNI PREDMET - INDIVIDUALNI VASPITNO-OBRAZOVNI RAD"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prostor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(5)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Odjeljenjska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teorijske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predmete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umjetničkoj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stiče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muzičko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baletsko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vaspitanje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tvrdim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koricama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veličine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240 mm x 340 mm.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(6)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odjeljenjske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teorijske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predmete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umjetničkoj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stiče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muzičko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baletsko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vaspitanje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12,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Prilogu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12, koji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(7) Na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prednjoj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strani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korica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odjeljenjske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teorijske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predmete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umjetničkoj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stiče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muzičko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baletsko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vaspitanje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gornjem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srednjem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dijelu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amblem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Republike Srpske,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amblema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riječi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 "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Republika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Srpska", 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njih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riječi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 "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Ministarstvo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prosvjete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kulture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",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korica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riječi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: "ODJELJENJSKA KNJIGA ZA TEORIJSKE PREDMETE"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prostor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756C8662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20" w:name="clan1100000011"/>
      <w:bookmarkEnd w:id="20"/>
      <w:proofErr w:type="spellStart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11.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E67A71E" wp14:editId="2982FB0C">
            <wp:extent cx="76200" cy="76200"/>
            <wp:effectExtent l="0" t="0" r="0" b="0"/>
            <wp:docPr id="31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20E5CA56" wp14:editId="2A9009F4">
            <wp:extent cx="76200" cy="76200"/>
            <wp:effectExtent l="0" t="0" r="0" b="0"/>
            <wp:docPr id="32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72DA9EC5" wp14:editId="4809D032">
            <wp:extent cx="76200" cy="76200"/>
            <wp:effectExtent l="0" t="0" r="0" b="0"/>
            <wp:docPr id="33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C532A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21" w:name="10011"/>
      <w:bookmarkEnd w:id="21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Odjeljenjske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. 6, 7, 8, 9. i 10.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elektronskom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kroz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Jedinstveni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informacioni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sistem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Ministarstva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(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eDnevnik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).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Podaci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odjeljenjskim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knjigama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elektronskom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istovjetni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podacima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odjeljenjskim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knjigama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59BF4BF2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22" w:name="clan1100000012"/>
      <w:bookmarkEnd w:id="22"/>
      <w:proofErr w:type="spellStart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12.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B84E5E8" wp14:editId="7474C3A7">
            <wp:extent cx="76200" cy="76200"/>
            <wp:effectExtent l="0" t="0" r="0" b="0"/>
            <wp:docPr id="34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E82DDB9" wp14:editId="3D80C605">
            <wp:extent cx="76200" cy="76200"/>
            <wp:effectExtent l="0" t="0" r="0" b="0"/>
            <wp:docPr id="35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039700E" wp14:editId="068C9272">
            <wp:extent cx="76200" cy="76200"/>
            <wp:effectExtent l="0" t="0" r="0" b="0"/>
            <wp:docPr id="36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16D04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23" w:name="10012"/>
      <w:bookmarkEnd w:id="23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Odjeljenjska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čuva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deset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godina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po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završetku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godine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isteka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roka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direktor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formira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komisiju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utvrđuje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li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podaci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odjeljenjske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uneseni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matičnu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3)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Komisija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podnosi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izvještaj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direktoru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stanju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4) Na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izvještaja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komisije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direktor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donosi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akt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uništavanju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odjeljenjske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verziji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skladu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zakonskim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propisima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uređuje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arhivska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djelatnost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6F4FEDB8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24" w:name="clan1100000013"/>
      <w:bookmarkEnd w:id="24"/>
      <w:proofErr w:type="spellStart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13.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59DACC38" wp14:editId="39D97203">
            <wp:extent cx="76200" cy="76200"/>
            <wp:effectExtent l="0" t="0" r="0" b="0"/>
            <wp:docPr id="37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65F7A59E" wp14:editId="68999801">
            <wp:extent cx="76200" cy="76200"/>
            <wp:effectExtent l="0" t="0" r="0" b="0"/>
            <wp:docPr id="38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676956FF" wp14:editId="4F3B5F69">
            <wp:extent cx="76200" cy="76200"/>
            <wp:effectExtent l="0" t="0" r="0" b="0"/>
            <wp:docPr id="39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F9FAE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25" w:name="10013"/>
      <w:bookmarkEnd w:id="25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LJetopis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dokument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elektronskom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trajno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čuva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2)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ljetopis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unose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važniji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podaci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događaji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života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(3)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Podaci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unose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hronološkim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redom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unosi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lice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odredi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direktor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(4)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ljetopisa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13,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Prilogu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13, koji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(5)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vođenje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ljetopisa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odgovoran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direktor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lice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ovlasti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direktor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377DCF85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26" w:name="clan1100000014"/>
      <w:bookmarkEnd w:id="26"/>
      <w:proofErr w:type="spellStart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14.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3C812C4" wp14:editId="1D84B7F5">
            <wp:extent cx="76200" cy="76200"/>
            <wp:effectExtent l="0" t="0" r="0" b="0"/>
            <wp:docPr id="40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0791E1D0" wp14:editId="029097B2">
            <wp:extent cx="76200" cy="76200"/>
            <wp:effectExtent l="0" t="0" r="0" b="0"/>
            <wp:docPr id="41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001844CF" wp14:editId="3E147512">
            <wp:extent cx="76200" cy="76200"/>
            <wp:effectExtent l="0" t="0" r="0" b="0"/>
            <wp:docPr id="42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EFE13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27" w:name="10014"/>
      <w:bookmarkEnd w:id="27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sveska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zapisnika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zapisnike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sjednica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odjeljenjskih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vijeća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nastavničkog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vijeća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3)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4)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savjeta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roditelja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5)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savjeta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6)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stručnih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aktiva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7)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timova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nivou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8)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komisija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nivou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Zapisnike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t. 1) i 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lice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odredi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direktor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potpisuje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zapisničar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3)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Zapisnike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t. 3), 4), 5), 6), 7) i 8)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lice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odredi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predsjednik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svakog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organa, 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potpisuju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zapisničar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predsjedavajući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4)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Zapisnici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tvrdo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povezanoj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svesci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veličine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210 mm x 297 mm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numerisanim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stranicama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5)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Popunjene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sveske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zapisnika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sjednica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dokumenti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čuvaju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deset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godina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6)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Nakon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isteka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roka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5.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direktor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donosi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akt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uništavanju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sveske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zapisnika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verziji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skladu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zakonskim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propisima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uređuje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arhivska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djelatnost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38B61A29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28" w:name="clan1100000015"/>
      <w:bookmarkEnd w:id="28"/>
      <w:proofErr w:type="spellStart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15.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1DC0309" wp14:editId="606D2E75">
            <wp:extent cx="76200" cy="76200"/>
            <wp:effectExtent l="0" t="0" r="0" b="0"/>
            <wp:docPr id="43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579C3590" wp14:editId="1EBFC735">
            <wp:extent cx="76200" cy="76200"/>
            <wp:effectExtent l="0" t="0" r="0" b="0"/>
            <wp:docPr id="44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E49F354" wp14:editId="3608A466">
            <wp:extent cx="76200" cy="76200"/>
            <wp:effectExtent l="0" t="0" r="0" b="0"/>
            <wp:docPr id="45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66917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29" w:name="10015"/>
      <w:bookmarkEnd w:id="29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Dnevnik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produženi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boravak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uključene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produženi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boravak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(2)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svaku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grupu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produženom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boravku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voditelj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produženog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boravka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zadužen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grupu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dnevnik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produženi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boravak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lastRenderedPageBreak/>
        <w:t xml:space="preserve">     (3)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Voditelj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produženog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boravka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dužan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da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dnevnik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popunjava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svakodnevno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čitko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detaljno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(4) Na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prednjoj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strani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korica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gornjem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srednjem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dijelu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amblem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Republike Srpske,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amblema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riječi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 "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Republika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Srpska", 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njih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riječi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 "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Ministarstvo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prosvjete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kulture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",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korica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riječi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: "DNEVNIK RADA ZA PRODUŽENI BORAVAK"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prostor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(5)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Dnevnik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produženi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boravak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tvrdim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koricama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veličine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420 mm x 297 mm.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(6)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dnevnika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produženi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boravak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14,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Prilogu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14, koji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1FCA7B2A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30" w:name="clan1100000016"/>
      <w:bookmarkEnd w:id="30"/>
      <w:proofErr w:type="spellStart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16.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0497B074" wp14:editId="4A590BFC">
            <wp:extent cx="76200" cy="76200"/>
            <wp:effectExtent l="0" t="0" r="0" b="0"/>
            <wp:docPr id="46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552DA514" wp14:editId="5322C4A2">
            <wp:extent cx="76200" cy="76200"/>
            <wp:effectExtent l="0" t="0" r="0" b="0"/>
            <wp:docPr id="47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77DE68EB" wp14:editId="2A6BF90E">
            <wp:extent cx="76200" cy="76200"/>
            <wp:effectExtent l="0" t="0" r="0" b="0"/>
            <wp:docPr id="48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3ABA3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31" w:name="10016"/>
      <w:bookmarkEnd w:id="31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Dnevnik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boravak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uključene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boravak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(2)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svaku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grupu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boravku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voditelj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boravka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zadužen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grupu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dnevnik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boravka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(3)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Voditelj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boravka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dužan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dnevnik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popunjava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svakodnevno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čitko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detaljno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(4) Na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prednjoj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strani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korica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gornjem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srednjem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dijelu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amblem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Republike Srpske,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amblema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riječi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 "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Republika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Srpska", 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njih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riječi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 "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Ministarstvo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prosvjete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kulture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",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korica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riječi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: "DNEVNIK RADA ZA BORAVAK"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prostor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(5)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Dnevnik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boravak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tvrdim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koricama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veličine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420 mm x 297 mm.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(6)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dnevnika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boravak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15,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Prilogu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15 i koji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7A3C5A96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32" w:name="clan1100000017"/>
      <w:bookmarkEnd w:id="32"/>
      <w:proofErr w:type="spellStart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17.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0B3E6754" wp14:editId="740EC1CD">
            <wp:extent cx="76200" cy="76200"/>
            <wp:effectExtent l="0" t="0" r="0" b="0"/>
            <wp:docPr id="49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752DCFD4" wp14:editId="798AE9AE">
            <wp:extent cx="76200" cy="76200"/>
            <wp:effectExtent l="0" t="0" r="0" b="0"/>
            <wp:docPr id="50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6133A72E" wp14:editId="15A16A01">
            <wp:extent cx="76200" cy="76200"/>
            <wp:effectExtent l="0" t="0" r="0" b="0"/>
            <wp:docPr id="51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C2C8B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33" w:name="10017"/>
      <w:bookmarkEnd w:id="33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Dnevnik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stručnog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saradnika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elektronskom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kroz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Jedinstveni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informacioni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sistem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Ministarstva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svaki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stručni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saradnik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svoje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područje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odgovara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tačnost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urednost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kontinuitet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unošenja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podataka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dnevnik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Tačnost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urednost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kontinuitet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unošenja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podataka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dnevnik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stručnog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saradnika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kontroliše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direktor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(3)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Dnevnik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sveske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veličine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210 mm x 297 mm.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4)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dnevnika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stručnog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saradnika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16,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Prilogu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16, koji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(5)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Podaci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dnevniku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stručnog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saradnika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elektronskom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istovjetni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podacima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dnevniku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stručnog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saradnika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68F5BAAB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34" w:name="clan1100000018"/>
      <w:bookmarkEnd w:id="34"/>
      <w:proofErr w:type="spellStart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18.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6C6C571E" wp14:editId="135700EE">
            <wp:extent cx="76200" cy="76200"/>
            <wp:effectExtent l="0" t="0" r="0" b="0"/>
            <wp:docPr id="52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0BCB54A6" wp14:editId="127B21E6">
            <wp:extent cx="76200" cy="76200"/>
            <wp:effectExtent l="0" t="0" r="0" b="0"/>
            <wp:docPr id="53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8D033DF" wp14:editId="0662B826">
            <wp:extent cx="76200" cy="76200"/>
            <wp:effectExtent l="0" t="0" r="0" b="0"/>
            <wp:docPr id="54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71ACC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35" w:name="10018"/>
      <w:bookmarkEnd w:id="35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elektronskom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kroz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Jedinstveni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informacioni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sistem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Ministarstva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(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eDnevnik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),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dnevnike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slobodnih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(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vannastavnih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aktivnosti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dopunske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3)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dodatne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4)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fakultativne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5)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pripremne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Dnevnici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programe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rasporede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imena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uključenih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časovima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zapažanja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napredovanju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učešće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smotrama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takmičenjima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3)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Dnevnike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nastavnici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zaduženi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realizaciju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određene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aktivnosti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kontroliše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direktor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lice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to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zaduži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direktor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4)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Dnevnici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sveske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veličine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210 mm x 297 mm.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(5)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dnevnika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slobodnih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(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vannastavnih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aktivnosti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17,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Prilogu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17 i koji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(6)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dnevnika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dopunske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18,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Prilogu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18, koji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(7)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dnevnika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dodatne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19,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Prilogu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19, koji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(8)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dnevnika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fakultativne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20,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Prilogu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20, koji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(9)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dnevnika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pripremne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21,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Prilogu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21, koji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(10)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Podaci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dnevnicima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elektronskom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istovjetni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podacima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dnevnicima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499BD46F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36" w:name="clan1100000019"/>
      <w:bookmarkEnd w:id="36"/>
      <w:proofErr w:type="spellStart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19.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43F3DE2" wp14:editId="5935C3CB">
            <wp:extent cx="76200" cy="76200"/>
            <wp:effectExtent l="0" t="0" r="0" b="0"/>
            <wp:docPr id="55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7EA52187" wp14:editId="20042FA1">
            <wp:extent cx="76200" cy="76200"/>
            <wp:effectExtent l="0" t="0" r="0" b="0"/>
            <wp:docPr id="56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5BA4096E" wp14:editId="3F0AA7EA">
            <wp:extent cx="76200" cy="76200"/>
            <wp:effectExtent l="0" t="0" r="0" b="0"/>
            <wp:docPr id="57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1755F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37" w:name="10019"/>
      <w:bookmarkEnd w:id="37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  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Dnevnici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. 15, 16, 17. i 18.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čuvaju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pet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godina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po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završetku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godine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5670AF8D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38" w:name="clan1100000020"/>
      <w:bookmarkEnd w:id="38"/>
      <w:proofErr w:type="spellStart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20.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6D88584" wp14:editId="0B86D3B3">
            <wp:extent cx="76200" cy="76200"/>
            <wp:effectExtent l="0" t="0" r="0" b="0"/>
            <wp:docPr id="58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4E743D16" wp14:editId="5C5864A2">
            <wp:extent cx="76200" cy="76200"/>
            <wp:effectExtent l="0" t="0" r="0" b="0"/>
            <wp:docPr id="59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46198D6B" wp14:editId="5D53114B">
            <wp:extent cx="76200" cy="76200"/>
            <wp:effectExtent l="0" t="0" r="0" b="0"/>
            <wp:docPr id="60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B9FBF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39" w:name="10020"/>
      <w:bookmarkEnd w:id="39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dežurstva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svaku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godinu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dežurstva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popunjavaju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dežurni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nastavnici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kontroliše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direktor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(3)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dežurstva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sveske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veličine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216 mm x 356 mm.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(4)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dežurstva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22,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Prilogu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22 i koji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24FC2EF7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40" w:name="clan1100000021"/>
      <w:bookmarkEnd w:id="40"/>
      <w:proofErr w:type="spellStart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21.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56CB58C4" wp14:editId="52192DF8">
            <wp:extent cx="76200" cy="76200"/>
            <wp:effectExtent l="0" t="0" r="0" b="0"/>
            <wp:docPr id="61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2B0569F9" wp14:editId="09BF37FF">
            <wp:extent cx="76200" cy="76200"/>
            <wp:effectExtent l="0" t="0" r="0" b="0"/>
            <wp:docPr id="62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07D3F081" wp14:editId="68BE478C">
            <wp:extent cx="76200" cy="76200"/>
            <wp:effectExtent l="0" t="0" r="0" b="0"/>
            <wp:docPr id="63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285A1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41" w:name="10021"/>
      <w:bookmarkEnd w:id="41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izrađuje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raspored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časova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redovne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raspored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časova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dopunske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dodatne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fakultativne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pripremne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slobodnih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(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vannastavnih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aktivnosti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Raspored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časova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izrađuje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lice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to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zaduži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direktor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6AED71C3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42" w:name="clan1100000022"/>
      <w:bookmarkEnd w:id="42"/>
      <w:proofErr w:type="spellStart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22.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66CBB906" wp14:editId="3085FBFD">
            <wp:extent cx="76200" cy="76200"/>
            <wp:effectExtent l="0" t="0" r="0" b="0"/>
            <wp:docPr id="64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F20E677" wp14:editId="4C3616A2">
            <wp:extent cx="76200" cy="76200"/>
            <wp:effectExtent l="0" t="0" r="0" b="0"/>
            <wp:docPr id="65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520F0F8E" wp14:editId="26D49819">
            <wp:extent cx="76200" cy="76200"/>
            <wp:effectExtent l="0" t="0" r="0" b="0"/>
            <wp:docPr id="66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244D8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43" w:name="10022"/>
      <w:bookmarkEnd w:id="43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lastRenderedPageBreak/>
        <w:t xml:space="preserve">     (1)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: plan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pripravničkog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;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evidentni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list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pripravnika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;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izvještaj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realizaciji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plana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programa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pripravničkog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obavljenom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pripravničkom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dokumentacije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propisuje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polaganje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stručnog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ispita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3) Plan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pripravničkog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evidentni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list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pripravnika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izvještaj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realizaciji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plana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programa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pripravničkog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mentor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zadužen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rad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pripravnika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4D87E7D0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44" w:name="clan1100000023"/>
      <w:bookmarkEnd w:id="44"/>
      <w:proofErr w:type="spellStart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23.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44DBC4EF" wp14:editId="3E1ED419">
            <wp:extent cx="76200" cy="76200"/>
            <wp:effectExtent l="0" t="0" r="0" b="0"/>
            <wp:docPr id="67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FBBA3AA" wp14:editId="1C828FC5">
            <wp:extent cx="76200" cy="76200"/>
            <wp:effectExtent l="0" t="0" r="0" b="0"/>
            <wp:docPr id="68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57D23854" wp14:editId="36C7DE76">
            <wp:extent cx="76200" cy="76200"/>
            <wp:effectExtent l="0" t="0" r="0" b="0"/>
            <wp:docPr id="69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4EC21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45" w:name="10023"/>
      <w:bookmarkEnd w:id="45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djece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upis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prvi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razred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elektronskom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kroz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Jedinstveni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informacioni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sistem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Ministarstva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veličine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210 mm x 297 mm.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3)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djece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upis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prvi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razred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23,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Prilogu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23, koji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(4)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pedagog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lice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to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ovlasti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direktor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5)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Podaci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djece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upis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prvi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razred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elektronskom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istovjetni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podacima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djece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upis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prvi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razred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10739877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46" w:name="clan1100000024"/>
      <w:bookmarkEnd w:id="46"/>
      <w:proofErr w:type="spellStart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24.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2CAE1695" wp14:editId="2DA51112">
            <wp:extent cx="76200" cy="76200"/>
            <wp:effectExtent l="0" t="0" r="0" b="0"/>
            <wp:docPr id="70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08CA932" wp14:editId="1F43ABD9">
            <wp:extent cx="76200" cy="76200"/>
            <wp:effectExtent l="0" t="0" r="0" b="0"/>
            <wp:docPr id="71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02245EA8" wp14:editId="484FF6B2">
            <wp:extent cx="76200" cy="76200"/>
            <wp:effectExtent l="0" t="0" r="0" b="0"/>
            <wp:docPr id="72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CC50D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47" w:name="10024"/>
      <w:bookmarkEnd w:id="47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Prilikom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upisa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umjetničku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stiče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muzičko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baletsko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vaspitanje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popunjava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upis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umjetničku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elektronskom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kroz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Jedinstveni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informacioni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sistem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Ministarstva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popunjava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veličine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210 mm x 297 mm.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(3)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prijave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24,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Prilogu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24, koji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(4)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Prijavu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preuzima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sekretar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5)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Podaci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prijavi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upis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umjetničku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stiče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muzičko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baletsko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vaspitanje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elektronskom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istovjetni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podacima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prijavi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upis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umjetničku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281069ED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48" w:name="clan1100000025"/>
      <w:bookmarkEnd w:id="48"/>
      <w:proofErr w:type="spellStart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25.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EB7F630" wp14:editId="326C7305">
            <wp:extent cx="76200" cy="76200"/>
            <wp:effectExtent l="0" t="0" r="0" b="0"/>
            <wp:docPr id="73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058549A8" wp14:editId="65676667">
            <wp:extent cx="76200" cy="76200"/>
            <wp:effectExtent l="0" t="0" r="0" b="0"/>
            <wp:docPr id="74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4AD07C59" wp14:editId="3B3F30A2">
            <wp:extent cx="76200" cy="76200"/>
            <wp:effectExtent l="0" t="0" r="0" b="0"/>
            <wp:docPr id="75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C79A6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49" w:name="10025"/>
      <w:bookmarkEnd w:id="49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Saglasnost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roditelja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preuzimanje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digitalnih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setova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podataka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sadržanih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izvodu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matične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rođenih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državljanstvu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prebivalištu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putem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Jedinstvenog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informacionog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sistema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Ministarstva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preuzima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ovlašćeno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lice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Centralnog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informacionog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sistema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drugi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primjerak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matičnih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elektronskom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Ministarstva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uprave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lokalne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samouprave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informacionog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sistema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Ministarstva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unutrašnjih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poslova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može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dati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elektronskom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saglasnosti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25,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Prilogu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25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3)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Saglasnost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preuzima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sekretar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lice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to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ovlasti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direktor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4)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Elektronska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saglasnost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daje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kroz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Informacioni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sistem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Ministarstva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119392E6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50" w:name="clan1100000026"/>
      <w:bookmarkEnd w:id="50"/>
      <w:proofErr w:type="spellStart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26.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02398994" wp14:editId="745F9441">
            <wp:extent cx="76200" cy="76200"/>
            <wp:effectExtent l="0" t="0" r="0" b="0"/>
            <wp:docPr id="76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1C7893D" wp14:editId="2EE8AAE0">
            <wp:extent cx="76200" cy="76200"/>
            <wp:effectExtent l="0" t="0" r="0" b="0"/>
            <wp:docPr id="77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2EF01251" wp14:editId="4AFB7714">
            <wp:extent cx="76200" cy="76200"/>
            <wp:effectExtent l="0" t="0" r="0" b="0"/>
            <wp:docPr id="78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740DE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51" w:name="10026"/>
      <w:bookmarkEnd w:id="51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Učenici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pristupaju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polaganju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: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popravnog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ispita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razrednog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ispita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drugih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ispita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vaspitanju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obrazovanju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ne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spadaju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redovno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ocjenjivanje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pristupanja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ispitu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podnose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prijavu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polaganje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ispita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lista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papira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standardne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veličine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- arak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potrebnim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uložaka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3)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prijave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26,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Prilogu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26 i koji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4) Na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poleđini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prijave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3.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zapisnik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polaganju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ispita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(5)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ispite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polažu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umjetničkoj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stiče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muzičko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baletsko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vaspitanje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arka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potrebnim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uložaka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(6)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Redovni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učenici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umjetničke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stiče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muzičko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baletsko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vaspitanje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ne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podnose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prijavu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polaganje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obaveznih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ispita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okviru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određenih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predmeta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planom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programom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propisano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polaganje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kontrolnih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godišnjih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ispita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(7)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prijave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ispite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polažu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umjetničkoj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stiče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muzičko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baletsko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vaspitanje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27,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Prilogu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27, koji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(8)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zapisnika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polaganju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godišnjih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kontrolnih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ispita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umjetničkoj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stiče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muzičko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baletsko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vaspitanje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28,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Prilogu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28, koji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(9)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Zapisnike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st.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4. i 8.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stalni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ispitne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komisije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odgovoran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tačnost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blagovremenost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upisivanja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podataka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(10)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Predsjednik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ispitne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komisije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stara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ukupnu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dokumentaciju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ispitu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predmeta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imenovan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predsjednika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ispitne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komisije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(11)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Zapisnik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potpisuju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članovi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komisije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(12)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zapisnik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polaganju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ispita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nakon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utvrđivanja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uspjeha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unošenja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podataka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matičnu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povezuju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razvrstavaju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vrstama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ispita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(13)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ispitima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veličine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210 mm x 297 mm.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(14)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ispitima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29,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Prilogu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29 i koji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(15)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ispitima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sekretar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odgovoran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tačnost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podataka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(16)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zapisnik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čuvaju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pet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godina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po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završetku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godine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2B007125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52" w:name="clan1100000027"/>
      <w:bookmarkEnd w:id="52"/>
      <w:proofErr w:type="spellStart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27.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2C142950" wp14:editId="1C819CE2">
            <wp:extent cx="76200" cy="76200"/>
            <wp:effectExtent l="0" t="0" r="0" b="0"/>
            <wp:docPr id="79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36C5422" wp14:editId="5DE46182">
            <wp:extent cx="76200" cy="76200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D7DAB2B" wp14:editId="791C5C85">
            <wp:extent cx="76200" cy="76200"/>
            <wp:effectExtent l="0" t="0" r="0" b="0"/>
            <wp:docPr id="81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172E1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53" w:name="10027"/>
      <w:bookmarkEnd w:id="53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izdatim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svjedočanstvima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izdatim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svjedočanstvima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izdatim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svjedočanstvima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poslije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popravnih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ispita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popunjava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odjeljenjski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starješina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odgovoran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tačnost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unesenih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podataka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popunjene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predaje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sekretaru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najkasnije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sedam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dana od dana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zaključivanja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spiska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izdatih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svjedočanstava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(3)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izdatim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svjedočanstvima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dokument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trajne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vrijednosti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lastRenderedPageBreak/>
        <w:t xml:space="preserve">     (4)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izdatim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svjedočanstvima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veličine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210 mm x 297 mm.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(5)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izdatim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svjedočanstvima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30,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Prilogu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30, koji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11A104CC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54" w:name="clan1100000028"/>
      <w:bookmarkEnd w:id="54"/>
      <w:proofErr w:type="spellStart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28.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50165A98" wp14:editId="049E51DD">
            <wp:extent cx="76200" cy="76200"/>
            <wp:effectExtent l="0" t="0" r="0" b="0"/>
            <wp:docPr id="82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48B73A31" wp14:editId="38403867">
            <wp:extent cx="76200" cy="76200"/>
            <wp:effectExtent l="0" t="0" r="0" b="0"/>
            <wp:docPr id="83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2C08FA7" wp14:editId="0053B10B">
            <wp:extent cx="76200" cy="76200"/>
            <wp:effectExtent l="0" t="0" r="0" b="0"/>
            <wp:docPr id="84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1BE87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55" w:name="10028"/>
      <w:bookmarkEnd w:id="55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izdatim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diplomama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arka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potrebnim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uložaka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3)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31,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Prilogu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31 i koji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4)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sekretar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odgovoran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tačnost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podataka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1A3738A2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56" w:name="clan1100000029"/>
      <w:bookmarkEnd w:id="56"/>
      <w:proofErr w:type="spellStart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29.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25BBAF64" wp14:editId="2C44523E">
            <wp:extent cx="76200" cy="76200"/>
            <wp:effectExtent l="0" t="0" r="0" b="0"/>
            <wp:docPr id="8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5413DE41" wp14:editId="19423344">
            <wp:extent cx="76200" cy="76200"/>
            <wp:effectExtent l="0" t="0" r="0" b="0"/>
            <wp:docPr id="86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BB56E67" wp14:editId="1A592FD3">
            <wp:extent cx="76200" cy="76200"/>
            <wp:effectExtent l="0" t="0" r="0" b="0"/>
            <wp:docPr id="87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44E6E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57" w:name="10029"/>
      <w:bookmarkEnd w:id="57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izdatim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završenim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godinama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školovanja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nivoima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arka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potrebnim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uložaka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3)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32,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Prilogu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32 i koji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4)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sekretar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odgovoran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tačnost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podataka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15C1B8EA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58" w:name="clan1100000030"/>
      <w:bookmarkEnd w:id="58"/>
      <w:proofErr w:type="spellStart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30.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6A8C734A" wp14:editId="292FBC38">
            <wp:extent cx="76200" cy="76200"/>
            <wp:effectExtent l="0" t="0" r="0" b="0"/>
            <wp:docPr id="88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27547E1F" wp14:editId="6F773391">
            <wp:extent cx="76200" cy="76200"/>
            <wp:effectExtent l="0" t="0" r="0" b="0"/>
            <wp:docPr id="89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4B022661" wp14:editId="2C8735E0">
            <wp:extent cx="76200" cy="76200"/>
            <wp:effectExtent l="0" t="0" r="0" b="0"/>
            <wp:docPr id="9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FB283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59" w:name="10030"/>
      <w:bookmarkEnd w:id="59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opštem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uspjehu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vladanju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kraju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drugog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polugodišta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vrši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analizu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opšteg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uspjeha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vladanja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pedagog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lice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to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zaduži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direktor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77D02CB2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60" w:name="clan1100000031"/>
      <w:bookmarkEnd w:id="60"/>
      <w:proofErr w:type="spellStart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31.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5A2A95A9" wp14:editId="2EBC5295">
            <wp:extent cx="76200" cy="76200"/>
            <wp:effectExtent l="0" t="0" r="0" b="0"/>
            <wp:docPr id="91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09B8DDF9" wp14:editId="142843A5">
            <wp:extent cx="76200" cy="76200"/>
            <wp:effectExtent l="0" t="0" r="0" b="0"/>
            <wp:docPr id="92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67B7CE88" wp14:editId="117B1D16">
            <wp:extent cx="76200" cy="76200"/>
            <wp:effectExtent l="0" t="0" r="0" b="0"/>
            <wp:docPr id="93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F9218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61" w:name="10031"/>
      <w:bookmarkEnd w:id="61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vaspitno-obrazovni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karton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svakog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elektronskom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kroz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Jedinstveni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informacioni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sistem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Ministarstva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(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eDnevnik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).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Obrazac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način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vođenja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vaspitno-obrazovnog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kartona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uređen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propisuje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vaspitno-obrazovni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karton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6FA445B5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62" w:name="clan1100000032"/>
      <w:bookmarkEnd w:id="62"/>
      <w:proofErr w:type="spellStart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32.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B179B20" wp14:editId="13A6F511">
            <wp:extent cx="76200" cy="76200"/>
            <wp:effectExtent l="0" t="0" r="0" b="0"/>
            <wp:docPr id="94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071449DF" wp14:editId="3062A86F">
            <wp:extent cx="76200" cy="76200"/>
            <wp:effectExtent l="0" t="0" r="0" b="0"/>
            <wp:docPr id="9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53E47B8C" wp14:editId="7F647FCC">
            <wp:extent cx="76200" cy="76200"/>
            <wp:effectExtent l="0" t="0" r="0" b="0"/>
            <wp:docPr id="96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32A4B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63" w:name="10032"/>
      <w:bookmarkEnd w:id="63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stručnom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usavršavanju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direktora,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stručnih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saradnika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bibliotekara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voditelja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produženog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boravka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sekretara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računovođe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pedagog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lice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to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zaduži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direktor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564A2456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64" w:name="clan1100000033"/>
      <w:bookmarkEnd w:id="64"/>
      <w:proofErr w:type="spellStart"/>
      <w:r w:rsidRPr="000204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33.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4D87C26C" wp14:editId="6C3A9940">
            <wp:extent cx="76200" cy="76200"/>
            <wp:effectExtent l="0" t="0" r="0" b="0"/>
            <wp:docPr id="97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F161B4C" wp14:editId="2E21ED94">
            <wp:extent cx="76200" cy="76200"/>
            <wp:effectExtent l="0" t="0" r="0" b="0"/>
            <wp:docPr id="98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66A41EBB" wp14:editId="413BCF37">
            <wp:extent cx="76200" cy="76200"/>
            <wp:effectExtent l="0" t="0" r="0" b="0"/>
            <wp:docPr id="99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0CDB5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65" w:name="10033"/>
      <w:bookmarkEnd w:id="65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izdatim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pohađanju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arka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potrebnim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uložaka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33,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Prilogu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33, koji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3)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sekretar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lice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to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zaduži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direktor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1DC08A1F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66" w:name="clan1100000034"/>
      <w:bookmarkEnd w:id="66"/>
      <w:proofErr w:type="spellStart"/>
      <w:r w:rsidRPr="000204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34.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2E893E4F" wp14:editId="6228218E">
            <wp:extent cx="76200" cy="76200"/>
            <wp:effectExtent l="0" t="0" r="0" b="0"/>
            <wp:docPr id="10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89C4204" wp14:editId="5D9D6FD7">
            <wp:extent cx="76200" cy="76200"/>
            <wp:effectExtent l="0" t="0" r="0" b="0"/>
            <wp:docPr id="101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7BD86384" wp14:editId="376ECC0B">
            <wp:extent cx="76200" cy="76200"/>
            <wp:effectExtent l="0" t="0" r="0" b="0"/>
            <wp:docPr id="102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9A5B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67" w:name="10034"/>
      <w:bookmarkEnd w:id="67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izdatim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prevodnicama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veličine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210 mm x 297 mm.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izdatim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prevodnicama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34,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Prilogu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34 i koji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(3)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sekretar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00517FC3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68" w:name="clan1100000035"/>
      <w:bookmarkEnd w:id="68"/>
      <w:proofErr w:type="spellStart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35.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0969D09" wp14:editId="1D133059">
            <wp:extent cx="76200" cy="76200"/>
            <wp:effectExtent l="0" t="0" r="0" b="0"/>
            <wp:docPr id="103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04328427" wp14:editId="21047A07">
            <wp:extent cx="76200" cy="76200"/>
            <wp:effectExtent l="0" t="0" r="0" b="0"/>
            <wp:docPr id="104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43CA1850" wp14:editId="3B1390A0">
            <wp:extent cx="76200" cy="76200"/>
            <wp:effectExtent l="0" t="0" r="0" b="0"/>
            <wp:docPr id="10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F0221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69" w:name="10035"/>
      <w:bookmarkEnd w:id="69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upisanim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ispisanim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učenicima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toku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godine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arka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potrebnim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uložaka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upisanim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ispisanim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učenicima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toku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godine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35,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Prilogu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35, koji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(3)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sekretar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5C217EDC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70" w:name="clan1100000036"/>
      <w:bookmarkEnd w:id="70"/>
      <w:proofErr w:type="spellStart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36.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78A0229D" wp14:editId="325CCEBB">
            <wp:extent cx="76200" cy="76200"/>
            <wp:effectExtent l="0" t="0" r="0" b="0"/>
            <wp:docPr id="106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2D73B2C7" wp14:editId="4A9E43C6">
            <wp:extent cx="76200" cy="76200"/>
            <wp:effectExtent l="0" t="0" r="0" b="0"/>
            <wp:docPr id="107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49AE7B6" wp14:editId="35B7F05C">
            <wp:extent cx="76200" cy="76200"/>
            <wp:effectExtent l="0" t="0" r="0" b="0"/>
            <wp:docPr id="108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CA21B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71" w:name="10036"/>
      <w:bookmarkEnd w:id="71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uspjehu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polugodištu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elektronskom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putem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Jedinstvenog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informacionog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sistema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Ministarstva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(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eDnevnik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).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uspjehu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polugodištu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zahtjev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roditelja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(3)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podlozi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izrađene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ukrasne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vinjete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svijetložutoj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nijansi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4)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gornjem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dijelu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natpis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"Bosna i Hercegovina", 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toga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natpis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"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Republika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Srpska".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(5) Na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amblem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Republike Srpske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promjera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50 mm,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izveden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10%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rasterske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vrijednosti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po CMYK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skali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od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punog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grafičkog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(6)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veličine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210 mm x 297 mm.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7)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36,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Prilogu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36, koji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8)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popunjava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odjeljenjski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starješina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odgovoran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tačnost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urednost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rok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unošenja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podataka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(9)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popunjava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trajnim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mastilom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plave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elektronski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(10)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potpisano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odjeljenjskog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starješine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direktora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ovjerava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pečatom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5BB393AA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72" w:name="clan1100000037"/>
      <w:bookmarkEnd w:id="72"/>
      <w:proofErr w:type="spellStart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37.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6C8CB896" wp14:editId="6D92310D">
            <wp:extent cx="76200" cy="76200"/>
            <wp:effectExtent l="0" t="0" r="0" b="0"/>
            <wp:docPr id="109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C70A28E" wp14:editId="2818EB8B">
            <wp:extent cx="76200" cy="76200"/>
            <wp:effectExtent l="0" t="0" r="0" b="0"/>
            <wp:docPr id="11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5F10F1AF" wp14:editId="2814BDA3">
            <wp:extent cx="76200" cy="76200"/>
            <wp:effectExtent l="0" t="0" r="0" b="0"/>
            <wp:docPr id="111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4C0E5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73" w:name="10037"/>
      <w:bookmarkEnd w:id="73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đačku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knjižicu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kraju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drugog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polugodišta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od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petog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razreda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Roditelji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/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staratelji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svojim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potpisom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potvrđuju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upoznati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uspjehom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vladanjem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(3)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dužan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nabavi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čuva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đačku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knjižicu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da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zahtjev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(4)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Opšte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đačku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knjižicu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upisuje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odjeljenjski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starješina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roku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od 15 dana od dana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početka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lastRenderedPageBreak/>
        <w:t>podatke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uspjehu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roku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od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sedam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dana od dana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utvrđivanja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opšteg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uspjeha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kraju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drugog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polugodišta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(5)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Đačka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knjižica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veličine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148 mm x 210 mm.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(6)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đačke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knjižice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5.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37,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Prilogu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37, koji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7) Na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prednjoj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strani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korica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gornjem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srednjem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dijelu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amblem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Republike Srpske,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amblema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riječi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 "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Republika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Srpska", 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njih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riječi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 "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Ministarstvo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prosvjete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kulture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",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korica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riječi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 "ĐAČKA KNJIŽICA UČENIKA OSNOVNE ŠKOLE".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69D8C663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74" w:name="clan1100000038"/>
      <w:bookmarkEnd w:id="74"/>
      <w:proofErr w:type="spellStart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38.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EBBE1BE" wp14:editId="48D01375">
            <wp:extent cx="76200" cy="76200"/>
            <wp:effectExtent l="0" t="0" r="0" b="0"/>
            <wp:docPr id="112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71875CBF" wp14:editId="70FE0524">
            <wp:extent cx="76200" cy="76200"/>
            <wp:effectExtent l="0" t="0" r="0" b="0"/>
            <wp:docPr id="113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5C183CB9" wp14:editId="28DE6EC8">
            <wp:extent cx="76200" cy="76200"/>
            <wp:effectExtent l="0" t="0" r="0" b="0"/>
            <wp:docPr id="114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FC2D2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75" w:name="10038"/>
      <w:bookmarkEnd w:id="75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Ukoliko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toku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godine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pređe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drugu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podaci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dalje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unose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đačku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knjižicu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donio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prethodno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pohađao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upisao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upisuje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naziv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iznad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ocjenama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razreda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upisao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(3)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slučaju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izgubi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đačku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knjižicu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nabavlja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novu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knjižicu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mu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duplikat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knjižice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7521B99E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76" w:name="clan1100000039"/>
      <w:bookmarkEnd w:id="76"/>
      <w:proofErr w:type="spellStart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39.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784CC5DF" wp14:editId="344FE656">
            <wp:extent cx="76200" cy="76200"/>
            <wp:effectExtent l="0" t="0" r="0" b="0"/>
            <wp:docPr id="11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7844417D" wp14:editId="6D9146DA">
            <wp:extent cx="76200" cy="76200"/>
            <wp:effectExtent l="0" t="0" r="0" b="0"/>
            <wp:docPr id="116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79580F81" wp14:editId="4257C0DF">
            <wp:extent cx="76200" cy="76200"/>
            <wp:effectExtent l="0" t="0" r="0" b="0"/>
            <wp:docPr id="117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ADF9B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77" w:name="10039"/>
      <w:bookmarkEnd w:id="77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svjedočanstva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završenom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VI, VII, VIII i IX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razredu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Umjetnička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stiče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muzičko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baletsko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vaspitanje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svjedočanstva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završenom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I, II, III, IV, V i VI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razredu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(3)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Svjedočanstva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st.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i 2.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roku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od 15 dana od dana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utvrđivanja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opšteg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uspjeha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4)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Svjedočanstva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st.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i 2.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imaju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podlozi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izrađene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ukrasne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vinjete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svijetložutoj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nijansi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5)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gornjem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dijelu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svjedočanstva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st.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i 2.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natpis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"Bosna i Hercegovina", 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toga "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Republika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Srpska".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6) Na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svjedočanstva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st.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i 2.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amblem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Republike Srpske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promjera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50 mm,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izveden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10%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rasterske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vrijednosti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po CMYK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skali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od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punog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grafičkog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7)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Svjedočanstva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st.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i 2.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veličine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210 mm x 297 mm.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8)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svjedočanstva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38,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Prilogu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38, koji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9)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svjedočanstva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39,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Prilogu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39, koji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10)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Svjedočanstvo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popunjava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odjeljenjski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starješina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odgovoran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tačnost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urednost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blagovremenost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unošenja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podataka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(11)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Svjedočanstvo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popunjava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trajnim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mastilom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plave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elektronski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(12)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Svjedočanstvo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potpisano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odjeljenjskog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starješine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direktora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ovjerava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pečatom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4CC104DD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78" w:name="clan1100000040"/>
      <w:bookmarkEnd w:id="78"/>
      <w:proofErr w:type="spellStart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40.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B8F1257" wp14:editId="7ABF5996">
            <wp:extent cx="76200" cy="76200"/>
            <wp:effectExtent l="0" t="0" r="0" b="0"/>
            <wp:docPr id="118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9DCC25C" wp14:editId="4519086E">
            <wp:extent cx="76200" cy="76200"/>
            <wp:effectExtent l="0" t="0" r="0" b="0"/>
            <wp:docPr id="119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6C6548F6" wp14:editId="04ACFFE1">
            <wp:extent cx="76200" cy="76200"/>
            <wp:effectExtent l="0" t="0" r="0" b="0"/>
            <wp:docPr id="12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47E09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79" w:name="10040"/>
      <w:bookmarkEnd w:id="79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sljedeće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diplome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priznanja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diplomu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"Vuk Karadžić",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posebnu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diplomu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izuzetan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uspjeh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pojedinog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predmeta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3)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priznanje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generacije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4)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priznanje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najboljem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diploma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priznanja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prethodnog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načini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njihovog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dodjeljivanja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propisani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propisuje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izbor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proglašenje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generacije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način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uslovi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dodjeljivanje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diploma.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0FC3DA64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80" w:name="clan1100000041"/>
      <w:bookmarkEnd w:id="80"/>
      <w:proofErr w:type="spellStart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41.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7BE10D9C" wp14:editId="03D426B1">
            <wp:extent cx="76200" cy="76200"/>
            <wp:effectExtent l="0" t="0" r="0" b="0"/>
            <wp:docPr id="121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7CDD0214" wp14:editId="45A5B8CB">
            <wp:extent cx="76200" cy="76200"/>
            <wp:effectExtent l="0" t="0" r="0" b="0"/>
            <wp:docPr id="122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01AF2395" wp14:editId="36F4CAD2">
            <wp:extent cx="76200" cy="76200"/>
            <wp:effectExtent l="0" t="0" r="0" b="0"/>
            <wp:docPr id="123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DEDDD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81" w:name="10041"/>
      <w:bookmarkEnd w:id="81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položenom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ispitu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stranog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jezika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nakon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položenog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ispita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potpisuju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ga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predsjednik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ispitne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komisije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direktor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ovjerava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pečatom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(3)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veličine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297 mm x 210 mm.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(4)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položenom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ispitu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stranog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jezika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40,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Prilogu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40, koji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30BB38B0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82" w:name="clan1100000042"/>
      <w:bookmarkEnd w:id="82"/>
      <w:proofErr w:type="spellStart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42.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68159CE7" wp14:editId="203126C2">
            <wp:extent cx="76200" cy="76200"/>
            <wp:effectExtent l="0" t="0" r="0" b="0"/>
            <wp:docPr id="124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8A895FA" wp14:editId="168E65D3">
            <wp:extent cx="76200" cy="76200"/>
            <wp:effectExtent l="0" t="0" r="0" b="0"/>
            <wp:docPr id="12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6FE5067F" wp14:editId="403734D7">
            <wp:extent cx="76200" cy="76200"/>
            <wp:effectExtent l="0" t="0" r="0" b="0"/>
            <wp:docPr id="12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A8604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83" w:name="10042"/>
      <w:bookmarkEnd w:id="83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Učenicima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prepisuju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drugu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prevodnica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pohađao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zahtjev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prešao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dostavlja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prevodnicu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službenim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putem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roku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od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sedam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dana od dana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podnošenja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zahtjeva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(3)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Prevodnica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veličine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210 mm x 297 mm.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(4)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prevodnice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prelasku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drugu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41,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Prilogu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41, koji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(5)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Prevodnica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prelasku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drugu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umjetničku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stiče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muzičko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baletsko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vaspitanje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veličine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210 mm x 297 mm.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(6)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prevodnice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prelasku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drugu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umjetničku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stiče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muzičko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baletsko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vaspitanje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42,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Prilogu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42, koji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0C740546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84" w:name="clan1100000043"/>
      <w:bookmarkEnd w:id="84"/>
      <w:proofErr w:type="spellStart"/>
      <w:r w:rsidRPr="000204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43.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20F2FBF1" wp14:editId="24B80C3E">
            <wp:extent cx="76200" cy="76200"/>
            <wp:effectExtent l="0" t="0" r="0" b="0"/>
            <wp:docPr id="127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43BA6923" wp14:editId="6160298C">
            <wp:extent cx="76200" cy="76200"/>
            <wp:effectExtent l="0" t="0" r="0" b="0"/>
            <wp:docPr id="128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4126C4CA" wp14:editId="07584690">
            <wp:extent cx="76200" cy="76200"/>
            <wp:effectExtent l="0" t="0" r="0" b="0"/>
            <wp:docPr id="129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AFC49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85" w:name="10043"/>
      <w:bookmarkEnd w:id="85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prešao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nakon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dobijanja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prevodnice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popunjava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obavještenje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upisu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došao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druge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ga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dostavlja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došao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roku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od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sedam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dana od dana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prijema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prevodnice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Obavještenje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upisu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došao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druge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veličine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210 mm x 297 mm.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(3)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obavještenja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upisu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došao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druge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43,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Prilogu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43, koji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0CAD5CA8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86" w:name="clan1100000044"/>
      <w:bookmarkEnd w:id="86"/>
      <w:proofErr w:type="spellStart"/>
      <w:r w:rsidRPr="000204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44.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6097B93C" wp14:editId="37AA121B">
            <wp:extent cx="76200" cy="76200"/>
            <wp:effectExtent l="0" t="0" r="0" b="0"/>
            <wp:docPr id="1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2857173" wp14:editId="245E01E0">
            <wp:extent cx="76200" cy="76200"/>
            <wp:effectExtent l="0" t="0" r="0" b="0"/>
            <wp:docPr id="131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457AB196" wp14:editId="0EFB9EB6">
            <wp:extent cx="76200" cy="76200"/>
            <wp:effectExtent l="0" t="0" r="0" b="0"/>
            <wp:docPr id="132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84E3A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87" w:name="10044"/>
      <w:bookmarkEnd w:id="87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lastRenderedPageBreak/>
        <w:t xml:space="preserve">     (1)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pohađanju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veličine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210 mm x 297 mm.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(3)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44,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Prilogu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44, koji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2C6E05ED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88" w:name="clan1100000045"/>
      <w:bookmarkEnd w:id="88"/>
      <w:proofErr w:type="spellStart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45.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66047013" wp14:editId="534C7F70">
            <wp:extent cx="76200" cy="76200"/>
            <wp:effectExtent l="0" t="0" r="0" b="0"/>
            <wp:docPr id="133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8C1D32A" wp14:editId="7ECEC62D">
            <wp:extent cx="76200" cy="76200"/>
            <wp:effectExtent l="0" t="0" r="0" b="0"/>
            <wp:docPr id="134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5D9596F8" wp14:editId="4ECD9437">
            <wp:extent cx="76200" cy="76200"/>
            <wp:effectExtent l="0" t="0" r="0" b="0"/>
            <wp:docPr id="13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61C82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89" w:name="10045"/>
      <w:bookmarkEnd w:id="89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Učenicima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školuju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nivoima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obrazovanja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poslije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završene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svake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godine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školovanja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nivoima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podlozi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izrađene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ukrasne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vinjete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svijetložutoj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nijansi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3)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gornjem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dijelu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natpis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"Bosna i Hercegovina", 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toga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natpis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"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Republika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Srpska".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(4) Na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amblem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Republike Srpske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promjera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50 mm,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izveden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10%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rasterske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vrijednosti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po CMYK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skali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od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punog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grafičkog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(5)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završenoj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godini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školovanja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nivoima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veličine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210 mm x 297 mm.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(6)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Izgled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45,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Prilogu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45, koji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sastavni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7)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popunjava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odjeljenjski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starješina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odgovoran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tačnost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blagovremenost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unošenja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podataka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(8)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roku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od 15 dana od dana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utvrđivanja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opšteg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uspjeha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9)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popunjava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trajnim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mastilom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plave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elektronski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(10)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potpisano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odjeljenjskog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starješine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direktora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ovjerava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pečatom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7DE05EAC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90" w:name="clan1100000046"/>
      <w:bookmarkEnd w:id="90"/>
      <w:proofErr w:type="spellStart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46.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FBBDFF1" wp14:editId="258AF1DA">
            <wp:extent cx="76200" cy="76200"/>
            <wp:effectExtent l="0" t="0" r="0" b="0"/>
            <wp:docPr id="136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5E6CEEBE" wp14:editId="140FD1DB">
            <wp:extent cx="76200" cy="76200"/>
            <wp:effectExtent l="0" t="0" r="0" b="0"/>
            <wp:docPr id="1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DF28870" wp14:editId="1C690E47">
            <wp:extent cx="76200" cy="76200"/>
            <wp:effectExtent l="0" t="0" r="0" b="0"/>
            <wp:docPr id="138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CD636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91" w:name="10046"/>
      <w:bookmarkEnd w:id="91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. 39. i 45.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specijalnom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neizbijeljenom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papiru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težine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100 grama po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kvadratnom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metru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(100 gr/m²), s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tekstualnim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dijelovima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crnoj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boji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2) Radi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sprečavanja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zloupotrebe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zaštite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obrazaca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. 39. i 45.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pokušaja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mehaničkog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hemijskog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brisanja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upisanih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podataka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preštampavanja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specijalno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zaštićenom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papiru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strukturi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papira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ugrađena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plava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vidljiva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melirana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vlakna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nevidljiva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vlakna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pod UV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svjetlom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vide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žuto-zelena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vlakna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papir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ugrađen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kontinuirani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vodeni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znak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tekstualnim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sadržajem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velikim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slovima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ćiriličkom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latiničkom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pismu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: BIH RS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naizmjenično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raspoređena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po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površini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papira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i to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tako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slova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tamne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slova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svijetle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(3) Po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cijeloj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širini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obrazaca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ispod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donjeg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ruba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svijetložute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podloge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ugrađuje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visokosigurnosna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hologramska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lenta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kontinuiranim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tekstom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"REPUBLIKA SRPSKA"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ćiriličkoj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latiničkoj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verziji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prvom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planu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mikrotekst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"ORIGINAL" pod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uglom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drugom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planu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kolornoj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separaciji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difrakcione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pozadine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boji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(4)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. 36, 39. i 45.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obavezno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serijski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5)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imaju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implementiran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Jedinstveni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informacioni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sistem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Ministarstva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(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eDnevnik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obrazac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hyperlink r:id="rId6" w:anchor="clan1100000036" w:history="1">
        <w:r w:rsidRPr="000204AC">
          <w:rPr>
            <w:rFonts w:ascii="Times New Roman" w:eastAsia="Times New Roman" w:hAnsi="Times New Roman" w:cs="Times New Roman"/>
            <w:color w:val="0000FF"/>
            <w:kern w:val="0"/>
            <w:sz w:val="18"/>
            <w:szCs w:val="18"/>
            <w:u w:val="single"/>
            <w:lang w:eastAsia="en-GB"/>
            <w14:ligatures w14:val="none"/>
          </w:rPr>
          <w:t>36</w:t>
        </w:r>
      </w:hyperlink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serijskim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blanko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6) Za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imaju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implementiran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Jedinstveni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informacioni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sistem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Ministarstva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(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eDnevnik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. 39. i 45.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gorenavedenu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zaštitu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serijski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blanko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52D2947B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92" w:name="clan1100000047"/>
      <w:bookmarkEnd w:id="92"/>
      <w:proofErr w:type="spellStart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47.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05556841" wp14:editId="388D2A67">
            <wp:extent cx="76200" cy="76200"/>
            <wp:effectExtent l="0" t="0" r="0" b="0"/>
            <wp:docPr id="13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AA09261" wp14:editId="1D1C485D">
            <wp:extent cx="76200" cy="76200"/>
            <wp:effectExtent l="0" t="0" r="0" b="0"/>
            <wp:docPr id="14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6110E94E" wp14:editId="60D34726">
            <wp:extent cx="76200" cy="76200"/>
            <wp:effectExtent l="0" t="0" r="0" b="0"/>
            <wp:docPr id="14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71BBB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93" w:name="10047"/>
      <w:bookmarkEnd w:id="93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Duplikati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obrazaca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. 36, 37, 39. i 45.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propisanim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s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se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rubrici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Napomena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navodi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je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pitanju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duplikat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javne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isprave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Duplikati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obrazaca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istovjetne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podatke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kao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original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tražene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isprave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s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se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dijelu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odnosi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datum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izdavanja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navodi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datum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izdavanja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duplikata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potpis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trenutnog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rukovodioca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070FC81A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94" w:name="clan1100000048"/>
      <w:bookmarkEnd w:id="94"/>
      <w:proofErr w:type="spellStart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48.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245D79A3" wp14:editId="31102D38">
            <wp:extent cx="76200" cy="76200"/>
            <wp:effectExtent l="0" t="0" r="0" b="0"/>
            <wp:docPr id="14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54A3905D" wp14:editId="21E62384">
            <wp:extent cx="76200" cy="76200"/>
            <wp:effectExtent l="0" t="0" r="0" b="0"/>
            <wp:docPr id="14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4ED4FBB" wp14:editId="6F186510">
            <wp:extent cx="76200" cy="76200"/>
            <wp:effectExtent l="0" t="0" r="0" b="0"/>
            <wp:docPr id="14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C47F8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95" w:name="10048"/>
      <w:bookmarkEnd w:id="95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javnih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isprava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ćiriličkom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latiničkom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pismu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2)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Javne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isprave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latiničkom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pismu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zahtjev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roditelja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51E1A340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96" w:name="clan1100000049"/>
      <w:bookmarkEnd w:id="96"/>
      <w:proofErr w:type="spellStart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49.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5EA167E" wp14:editId="506DA708">
            <wp:extent cx="76200" cy="76200"/>
            <wp:effectExtent l="0" t="0" r="0" b="0"/>
            <wp:docPr id="14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9ADADC8" wp14:editId="36F09D43">
            <wp:extent cx="76200" cy="76200"/>
            <wp:effectExtent l="0" t="0" r="0" b="0"/>
            <wp:docPr id="14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47CDD161" wp14:editId="3DE65F5D">
            <wp:extent cx="76200" cy="76200"/>
            <wp:effectExtent l="0" t="0" r="0" b="0"/>
            <wp:docPr id="14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0A3E4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97" w:name="10049"/>
      <w:bookmarkEnd w:id="97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  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bave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obrazovanjem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odraslih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andragošku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dokumentaciju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javne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isprave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odnose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odraslih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skladu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zakonskim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podzakonskim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propisima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uređuje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obrazovanje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odraslih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42DC5345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98" w:name="clan1100000050"/>
      <w:bookmarkEnd w:id="98"/>
      <w:proofErr w:type="spellStart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50.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49E5468E" wp14:editId="7BD09245">
            <wp:extent cx="76200" cy="76200"/>
            <wp:effectExtent l="0" t="0" r="0" b="0"/>
            <wp:docPr id="14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0B88555C" wp14:editId="083F5A4E">
            <wp:extent cx="76200" cy="76200"/>
            <wp:effectExtent l="0" t="0" r="0" b="0"/>
            <wp:docPr id="14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01781870" wp14:editId="774E39B4">
            <wp:extent cx="76200" cy="76200"/>
            <wp:effectExtent l="0" t="0" r="0" b="0"/>
            <wp:docPr id="15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3580F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99" w:name="10050"/>
      <w:bookmarkEnd w:id="99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  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Učenicima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popunjavana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đačka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knjižica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skladu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sadržaju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načinu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vođenja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dokumentacije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javnih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isprava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("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Službeni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glasnik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Republike Srpske",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66/13) ta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đačka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knjižica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će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važiti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završetka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petog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razreda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vaspitanja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obrazovanja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7905F0B1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100" w:name="clan1100000051"/>
      <w:bookmarkEnd w:id="100"/>
      <w:proofErr w:type="spellStart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51.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0F08B75D" wp14:editId="5C6F2B4C">
            <wp:extent cx="76200" cy="76200"/>
            <wp:effectExtent l="0" t="0" r="0" b="0"/>
            <wp:docPr id="15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2FDCEB83" wp14:editId="4943BF74">
            <wp:extent cx="76200" cy="76200"/>
            <wp:effectExtent l="0" t="0" r="0" b="0"/>
            <wp:docPr id="15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4714AE31" wp14:editId="7F6B5A99">
            <wp:extent cx="76200" cy="76200"/>
            <wp:effectExtent l="0" t="0" r="0" b="0"/>
            <wp:docPr id="15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FADCF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101" w:name="10051"/>
      <w:bookmarkEnd w:id="101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  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Prilozi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. 4, 5, 6, 7, 8, 9, 10, 13, 15, 16, 17, 18, 20, 23, 24, 25, 26, 27, 28, 29, 33, 34, 35, 36, 37, 39, 41, 42, 43, 44. i 45.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biće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objavljeni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posebnoj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publikaciji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"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Službenog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glasnika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Republike Srpske".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4CEBD39D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102" w:name="clan1100000052"/>
      <w:bookmarkEnd w:id="102"/>
      <w:proofErr w:type="spellStart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52.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547FA6C0" wp14:editId="402D07AA">
            <wp:extent cx="76200" cy="76200"/>
            <wp:effectExtent l="0" t="0" r="0" b="0"/>
            <wp:docPr id="15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A8BDE86" wp14:editId="02E48563">
            <wp:extent cx="76200" cy="76200"/>
            <wp:effectExtent l="0" t="0" r="0" b="0"/>
            <wp:docPr id="15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3DDDE1D" wp14:editId="419ECC63">
            <wp:extent cx="76200" cy="76200"/>
            <wp:effectExtent l="0" t="0" r="0" b="0"/>
            <wp:docPr id="15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1F9CB" w14:textId="77777777" w:rsidR="000204AC" w:rsidRPr="000204AC" w:rsidRDefault="000204AC" w:rsidP="0002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103" w:name="10052"/>
      <w:bookmarkEnd w:id="103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  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Stupanjem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snagu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prestaje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važi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sadržaju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načinu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vođenja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dokumentacije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obrascima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javnih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isprava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("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Službeni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glasnik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Republike Srpske",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66/13).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4878865C" w14:textId="77777777" w:rsidR="000204AC" w:rsidRPr="000204AC" w:rsidRDefault="000204AC" w:rsidP="00020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104" w:name="clan1100000053"/>
      <w:bookmarkEnd w:id="104"/>
      <w:proofErr w:type="spellStart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0204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53.</w:t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0413D83F" wp14:editId="085B9A0B">
            <wp:extent cx="76200" cy="76200"/>
            <wp:effectExtent l="0" t="0" r="0" b="0"/>
            <wp:docPr id="15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D315177" wp14:editId="280F2849">
            <wp:extent cx="76200" cy="76200"/>
            <wp:effectExtent l="0" t="0" r="0" b="0"/>
            <wp:docPr id="1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A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68893B21" wp14:editId="73AE4D2F">
            <wp:extent cx="76200" cy="76200"/>
            <wp:effectExtent l="0" t="0" r="0" b="0"/>
            <wp:docPr id="1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79D99" w14:textId="52C7584E" w:rsidR="00775EAF" w:rsidRDefault="000204AC" w:rsidP="000204AC">
      <w:bookmarkStart w:id="105" w:name="10053"/>
      <w:bookmarkEnd w:id="105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  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Ovaj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stupa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snagu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osmog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dana od dana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objavljivanja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"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Službenom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glasniku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Republike Srpske".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   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 07.041/020-66-1/23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8.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maja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2023.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godine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 Banjaluka</w:t>
      </w:r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   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Ministar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Željka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Stojičić</w:t>
      </w:r>
      <w:proofErr w:type="spellEnd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0204AC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s.r.</w:t>
      </w:r>
      <w:proofErr w:type="spellEnd"/>
    </w:p>
    <w:sectPr w:rsidR="00775EAF" w:rsidSect="004D0050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50"/>
    <w:rsid w:val="000204AC"/>
    <w:rsid w:val="004D0050"/>
    <w:rsid w:val="00775EAF"/>
    <w:rsid w:val="00A2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83279"/>
  <w15:chartTrackingRefBased/>
  <w15:docId w15:val="{D963ECBE-BFD8-4F76-9B94-2368B8CD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daci.com/_verzija35/rezultati.php" TargetMode="External"/><Relationship Id="rId5" Type="http://schemas.openxmlformats.org/officeDocument/2006/relationships/hyperlink" Target="http://www.podaci.com/_verzija35/rezultati.php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6364</Words>
  <Characters>36277</Characters>
  <Application>Microsoft Office Word</Application>
  <DocSecurity>0</DocSecurity>
  <Lines>302</Lines>
  <Paragraphs>85</Paragraphs>
  <ScaleCrop>false</ScaleCrop>
  <Company/>
  <LinksUpToDate>false</LinksUpToDate>
  <CharactersWithSpaces>42556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ЈU ОŠ Јоvаn Dučić Banja Luka-Sekretar</dc:creator>
  <cp:keywords/>
  <dc:description/>
  <cp:lastModifiedBy>ЈU ОŠ Јоvаn Dučić Banja Luka-Sekretar</cp:lastModifiedBy>
  <cp:revision>2</cp:revision>
  <cp:lastPrinted>2023-10-18T07:08:00Z</cp:lastPrinted>
  <dcterms:created xsi:type="dcterms:W3CDTF">2024-12-25T12:46:00Z</dcterms:created>
  <dcterms:modified xsi:type="dcterms:W3CDTF">2024-12-25T12:46:00Z</dcterms:modified>
</cp:coreProperties>
</file>